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5C" w:rsidRDefault="00211F5C" w:rsidP="008841C8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приказом</w:t>
      </w:r>
    </w:p>
    <w:p w:rsidR="00211F5C" w:rsidRDefault="00211F5C" w:rsidP="008841C8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ОАО 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ЭТК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</w:p>
    <w:p w:rsidR="00211F5C" w:rsidRDefault="002A7B44" w:rsidP="008841C8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211F5C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29.04.2016г.</w:t>
      </w:r>
      <w:r w:rsidR="00211F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211F5C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 w:rsidR="00211F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38</w:t>
      </w:r>
    </w:p>
    <w:p w:rsidR="00211F5C" w:rsidRDefault="00211F5C" w:rsidP="00B86B0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11F5C" w:rsidRDefault="00211F5C" w:rsidP="00B86B0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11F5C" w:rsidRDefault="00211F5C" w:rsidP="00B86B0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ОАО «Электротехнический комплекс»</w:t>
      </w:r>
    </w:p>
    <w:p w:rsidR="00211F5C" w:rsidRDefault="00211F5C" w:rsidP="009D4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bookmarkStart w:id="0" w:name="_GoBack"/>
      <w:bookmarkEnd w:id="0"/>
    </w:p>
    <w:p w:rsidR="00211F5C" w:rsidRPr="009D2DCE" w:rsidRDefault="00211F5C" w:rsidP="009D4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DCE">
        <w:rPr>
          <w:rFonts w:ascii="Times New Roman" w:hAnsi="Times New Roman" w:cs="Times New Roman"/>
          <w:b/>
          <w:bCs/>
          <w:sz w:val="24"/>
          <w:szCs w:val="24"/>
        </w:rPr>
        <w:t>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:rsidR="00211F5C" w:rsidRPr="009D2DCE" w:rsidRDefault="00211F5C" w:rsidP="009D4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1F5C" w:rsidRPr="00B94952" w:rsidRDefault="00211F5C" w:rsidP="009D4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CE">
        <w:rPr>
          <w:rFonts w:ascii="Times New Roman" w:hAnsi="Times New Roman" w:cs="Times New Roman"/>
          <w:b/>
          <w:bCs/>
          <w:sz w:val="24"/>
          <w:szCs w:val="24"/>
        </w:rPr>
        <w:t xml:space="preserve">КРУГ ЗАЯВИТЕЛЕЙ: </w:t>
      </w:r>
      <w:r w:rsidRPr="009D2DCE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индивидуальные </w:t>
      </w:r>
      <w:r w:rsidRPr="00B94952">
        <w:rPr>
          <w:rFonts w:ascii="Times New Roman" w:hAnsi="Times New Roman" w:cs="Times New Roman"/>
          <w:sz w:val="24"/>
          <w:szCs w:val="24"/>
        </w:rPr>
        <w:t>предприниматели</w:t>
      </w:r>
    </w:p>
    <w:p w:rsidR="00211F5C" w:rsidRPr="00B94952" w:rsidRDefault="00211F5C" w:rsidP="009D4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4952">
        <w:rPr>
          <w:rFonts w:ascii="Times New Roman" w:hAnsi="Times New Roman" w:cs="Times New Roman"/>
          <w:b/>
          <w:bCs/>
          <w:sz w:val="24"/>
          <w:szCs w:val="24"/>
        </w:rPr>
        <w:t>РАЗМЕР ПЛАТЫ ЗА ПРЕДОСТАВЛЕНИЕ УСЛУГИ (ПРОЦЕССА) И ОСНОВАНИЕ ЕЕ ВЗИМАНИЯ:</w:t>
      </w:r>
      <w:r w:rsidR="00B94952" w:rsidRPr="00B94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952">
        <w:rPr>
          <w:rFonts w:ascii="Times New Roman" w:hAnsi="Times New Roman" w:cs="Times New Roman"/>
          <w:sz w:val="24"/>
          <w:szCs w:val="24"/>
        </w:rPr>
        <w:t>Плата не вз</w:t>
      </w:r>
      <w:r w:rsidR="00B94952" w:rsidRPr="00B94952">
        <w:rPr>
          <w:rFonts w:ascii="Times New Roman" w:hAnsi="Times New Roman" w:cs="Times New Roman"/>
          <w:sz w:val="24"/>
          <w:szCs w:val="24"/>
        </w:rPr>
        <w:t>и</w:t>
      </w:r>
      <w:r w:rsidRPr="00B94952">
        <w:rPr>
          <w:rFonts w:ascii="Times New Roman" w:hAnsi="Times New Roman" w:cs="Times New Roman"/>
          <w:sz w:val="24"/>
          <w:szCs w:val="24"/>
        </w:rPr>
        <w:t>мается.</w:t>
      </w:r>
    </w:p>
    <w:p w:rsidR="00211F5C" w:rsidRPr="00B94952" w:rsidRDefault="00211F5C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952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УСЛУГИ (ПРОЦЕССА):</w:t>
      </w:r>
      <w:r w:rsidR="00B94952" w:rsidRPr="00B94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952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потребителя, заключенный с ОАО «ЭТК» договор об оказании услуг по передаче электрической энергии или договор энергоснабжения с гарантирующим поставщиком (энергосбытовой организацией), наличие приборов учёта, позволяющих учитывать почасовые значения активной и реактивной энергии, потреблённой энергопринимающими устройствами заявителей.</w:t>
      </w:r>
      <w:proofErr w:type="gramEnd"/>
    </w:p>
    <w:p w:rsidR="00211F5C" w:rsidRPr="00B94952" w:rsidRDefault="00211F5C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52">
        <w:rPr>
          <w:rFonts w:ascii="Times New Roman" w:hAnsi="Times New Roman" w:cs="Times New Roman"/>
          <w:b/>
          <w:bCs/>
          <w:sz w:val="24"/>
          <w:szCs w:val="24"/>
        </w:rPr>
        <w:t xml:space="preserve">ОБЩИЙ СРОК ОКАЗАНИЯ УСЛУГИ (ПРОЦЕССА): </w:t>
      </w:r>
      <w:r w:rsidRPr="00B94952">
        <w:rPr>
          <w:rFonts w:ascii="Times New Roman" w:hAnsi="Times New Roman" w:cs="Times New Roman"/>
          <w:sz w:val="24"/>
          <w:szCs w:val="24"/>
        </w:rPr>
        <w:t>30 дней с даты проведения соответствующей проверки или снятия контрольных показаний приборов учёта электроэнергии.</w:t>
      </w:r>
    </w:p>
    <w:p w:rsidR="00211F5C" w:rsidRPr="009D2DCE" w:rsidRDefault="00211F5C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52">
        <w:rPr>
          <w:rFonts w:ascii="Times New Roman" w:hAnsi="Times New Roman" w:cs="Times New Roman"/>
          <w:b/>
          <w:bCs/>
          <w:sz w:val="24"/>
          <w:szCs w:val="24"/>
        </w:rPr>
        <w:t>РЕЗУЛЬТАТ ОКАЗАНИЯ УСЛУГИ (ПРОЦЕССА):</w:t>
      </w:r>
      <w:r w:rsidR="00B94952" w:rsidRPr="00B94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952">
        <w:rPr>
          <w:rFonts w:ascii="Times New Roman" w:hAnsi="Times New Roman" w:cs="Times New Roman"/>
          <w:sz w:val="24"/>
          <w:szCs w:val="24"/>
        </w:rPr>
        <w:t>проверка соблюдения значений соотношений потреблённой активной и реактивной мощности.</w:t>
      </w:r>
    </w:p>
    <w:p w:rsidR="00211F5C" w:rsidRPr="009D2DCE" w:rsidRDefault="00211F5C" w:rsidP="009D4EB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2DCE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211F5C" w:rsidRPr="009D4EB7" w:rsidRDefault="00211F5C" w:rsidP="009D4EB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tbl>
      <w:tblPr>
        <w:tblW w:w="4973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6"/>
        <w:gridCol w:w="1650"/>
        <w:gridCol w:w="2770"/>
        <w:gridCol w:w="3055"/>
        <w:gridCol w:w="1965"/>
        <w:gridCol w:w="1996"/>
        <w:gridCol w:w="2513"/>
      </w:tblGrid>
      <w:tr w:rsidR="00211F5C" w:rsidRPr="004E17CB">
        <w:trPr>
          <w:tblHeader/>
        </w:trPr>
        <w:tc>
          <w:tcPr>
            <w:tcW w:w="165" w:type="pct"/>
            <w:shd w:val="clear" w:color="auto" w:fill="595959"/>
          </w:tcPr>
          <w:p w:rsidR="00211F5C" w:rsidRPr="009D2DCE" w:rsidRDefault="00211F5C" w:rsidP="004E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DCE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72" w:type="pct"/>
            <w:shd w:val="clear" w:color="auto" w:fill="595959"/>
          </w:tcPr>
          <w:p w:rsidR="00211F5C" w:rsidRPr="004E17CB" w:rsidRDefault="00211F5C" w:rsidP="004E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17C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960" w:type="pct"/>
            <w:shd w:val="clear" w:color="auto" w:fill="595959"/>
          </w:tcPr>
          <w:p w:rsidR="00211F5C" w:rsidRPr="004E17CB" w:rsidRDefault="00211F5C" w:rsidP="004E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17C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1059" w:type="pct"/>
            <w:shd w:val="clear" w:color="auto" w:fill="595959"/>
          </w:tcPr>
          <w:p w:rsidR="00211F5C" w:rsidRPr="004E17CB" w:rsidRDefault="00211F5C" w:rsidP="004E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17C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681" w:type="pct"/>
            <w:shd w:val="clear" w:color="auto" w:fill="595959"/>
          </w:tcPr>
          <w:p w:rsidR="00211F5C" w:rsidRPr="004E17CB" w:rsidRDefault="00211F5C" w:rsidP="004E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17C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92" w:type="pct"/>
            <w:shd w:val="clear" w:color="auto" w:fill="595959"/>
          </w:tcPr>
          <w:p w:rsidR="00211F5C" w:rsidRPr="004E17CB" w:rsidRDefault="00211F5C" w:rsidP="004E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17C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871" w:type="pct"/>
            <w:shd w:val="clear" w:color="auto" w:fill="595959"/>
          </w:tcPr>
          <w:p w:rsidR="00211F5C" w:rsidRPr="004E17CB" w:rsidRDefault="00211F5C" w:rsidP="004E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E17C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211F5C" w:rsidRPr="004E17CB">
        <w:tc>
          <w:tcPr>
            <w:tcW w:w="165" w:type="pct"/>
          </w:tcPr>
          <w:p w:rsidR="00211F5C" w:rsidRPr="009D2DCE" w:rsidRDefault="00211F5C" w:rsidP="004E1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DCE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72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 xml:space="preserve">Снятие профилей мощности активной и </w:t>
            </w: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реактивной мощности</w:t>
            </w:r>
          </w:p>
        </w:tc>
        <w:tc>
          <w:tcPr>
            <w:tcW w:w="960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 проведении проверок расчётных приборов учёта или снятии </w:t>
            </w:r>
            <w:r w:rsidRPr="00B94952">
              <w:rPr>
                <w:rFonts w:ascii="Times New Roman" w:hAnsi="Times New Roman" w:cs="Times New Roman"/>
                <w:lang w:eastAsia="ru-RU"/>
              </w:rPr>
              <w:t>контрольных показаний приборов учёта</w:t>
            </w:r>
            <w:r w:rsidR="00B94952" w:rsidRPr="00B9495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4952">
              <w:rPr>
                <w:rFonts w:ascii="Times New Roman" w:hAnsi="Times New Roman" w:cs="Times New Roman"/>
                <w:lang w:eastAsia="ru-RU"/>
              </w:rPr>
              <w:lastRenderedPageBreak/>
              <w:t>электроэнергии в сл</w:t>
            </w:r>
            <w:r w:rsidRPr="004E17CB">
              <w:rPr>
                <w:rFonts w:ascii="Times New Roman" w:hAnsi="Times New Roman" w:cs="Times New Roman"/>
                <w:lang w:eastAsia="ru-RU"/>
              </w:rPr>
              <w:t>учае необходимости с прибора учёта электроэнергии снимаются данные о почасовом потреблении активной и реактивной энергии</w:t>
            </w:r>
          </w:p>
        </w:tc>
        <w:tc>
          <w:tcPr>
            <w:tcW w:w="1059" w:type="pct"/>
          </w:tcPr>
          <w:p w:rsidR="00211F5C" w:rsidRPr="004E17CB" w:rsidRDefault="00211F5C" w:rsidP="004E17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Установление и фиксация объемов мощности</w:t>
            </w:r>
          </w:p>
        </w:tc>
        <w:tc>
          <w:tcPr>
            <w:tcW w:w="681" w:type="pct"/>
          </w:tcPr>
          <w:p w:rsidR="00211F5C" w:rsidRPr="004E17CB" w:rsidRDefault="00211F5C" w:rsidP="004E17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Очно при выполнении действий</w:t>
            </w:r>
          </w:p>
        </w:tc>
        <w:tc>
          <w:tcPr>
            <w:tcW w:w="692" w:type="pct"/>
          </w:tcPr>
          <w:p w:rsidR="00211F5C" w:rsidRPr="004E17CB" w:rsidRDefault="00211F5C" w:rsidP="004E17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 xml:space="preserve">При проведении проверок расчётных приборов учёта </w:t>
            </w: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электроэнергии или снятии контрольных показаний приборов учёта электроэнергии</w:t>
            </w:r>
          </w:p>
        </w:tc>
        <w:tc>
          <w:tcPr>
            <w:tcW w:w="871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Правила недискриминационного доступа.</w:t>
            </w:r>
            <w:r w:rsidRPr="004E17CB">
              <w:rPr>
                <w:rStyle w:val="ae"/>
                <w:rFonts w:ascii="Times New Roman" w:hAnsi="Times New Roman" w:cs="Times New Roman"/>
                <w:lang w:eastAsia="ru-RU"/>
              </w:rPr>
              <w:footnoteReference w:id="1"/>
            </w:r>
          </w:p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 xml:space="preserve">Основы </w:t>
            </w: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функционирования розничных рынков электрической энергии.</w:t>
            </w:r>
            <w:r w:rsidRPr="004E17CB">
              <w:rPr>
                <w:rStyle w:val="ae"/>
                <w:rFonts w:ascii="Times New Roman" w:hAnsi="Times New Roman" w:cs="Times New Roman"/>
                <w:lang w:eastAsia="ru-RU"/>
              </w:rPr>
              <w:footnoteReference w:id="2"/>
            </w:r>
          </w:p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Приказ Минпромэнерго РФ от 22.02.2007 №49</w:t>
            </w:r>
          </w:p>
        </w:tc>
      </w:tr>
      <w:tr w:rsidR="00211F5C" w:rsidRPr="004E17CB">
        <w:tc>
          <w:tcPr>
            <w:tcW w:w="165" w:type="pct"/>
          </w:tcPr>
          <w:p w:rsidR="00211F5C" w:rsidRPr="009D2DCE" w:rsidRDefault="00211F5C" w:rsidP="004E1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DC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572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Расчет значения соотношения потребления реактивной и активной мощности.</w:t>
            </w:r>
          </w:p>
        </w:tc>
        <w:tc>
          <w:tcPr>
            <w:tcW w:w="960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При наличии профилей активной и реактивной мощности</w:t>
            </w:r>
          </w:p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Сумма часов, составляющих определяемые соответствующими договорами периоды больших и малых нагрузок, должна быть равна 24 часам. Если иное не определено договором, часами больших нагрузок считается период с 7 ч 00 мин. до 23 ч 00 мин., а часами малых нагрузок - с 23 ч 00 мин. до 7 ч 00 мин.</w:t>
            </w:r>
          </w:p>
        </w:tc>
        <w:tc>
          <w:tcPr>
            <w:tcW w:w="1059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Расчет коэффициента активной и реактивной мощности. Значения коэффициентов реактивной мощности определяются отдельно для каждой точки присоединения к электрической сети в отношении всех потребителей, за исключением потребителей, получающих электрическую энергию по нескольким линиям напряжением 6 - 20 кВ от одной подстанции или электростанции, для которых эти значения рассчитываются в виде суммарных величин.</w:t>
            </w:r>
          </w:p>
        </w:tc>
        <w:tc>
          <w:tcPr>
            <w:tcW w:w="681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2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1 час 50 минут</w:t>
            </w:r>
          </w:p>
        </w:tc>
        <w:tc>
          <w:tcPr>
            <w:tcW w:w="871" w:type="pct"/>
          </w:tcPr>
          <w:p w:rsidR="00211F5C" w:rsidRPr="004E17CB" w:rsidRDefault="00211F5C" w:rsidP="004E17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Приказ Минпромэнерго РФ от 22.02.2007 №49</w:t>
            </w:r>
          </w:p>
        </w:tc>
      </w:tr>
      <w:tr w:rsidR="00211F5C" w:rsidRPr="004E17CB">
        <w:tc>
          <w:tcPr>
            <w:tcW w:w="165" w:type="pct"/>
          </w:tcPr>
          <w:p w:rsidR="00211F5C" w:rsidRPr="009D2DCE" w:rsidRDefault="00211F5C" w:rsidP="004E1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DCE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72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 xml:space="preserve">Определение коэффициента реактивной мощности tg φ </w:t>
            </w:r>
          </w:p>
        </w:tc>
        <w:tc>
          <w:tcPr>
            <w:tcW w:w="960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 xml:space="preserve">Для потребителей, присоединенных к сетям напряжением  110 кВ (154 кВ), в случаях, когда они </w:t>
            </w: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оказывают существенное влияние на электроэнергетические режимы работы энергосистем (энергорайонов, энергоузлов), предельное значение коэффициента реактивной мощности, потребляемой в часы больших суточных нагрузок электрической сети, а также диапазоны коэффициента реактивной мощности, применяемые в периоды участия потребителя в регулировании реактивной мощности, определяют на основе расчетов режимов работы электрической сети в указанные периоды, выполняемых как для нормальной, так и для ремонтной схем сети</w:t>
            </w:r>
          </w:p>
        </w:tc>
        <w:tc>
          <w:tcPr>
            <w:tcW w:w="1059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Предельные значения коэффициента реактивной мощности, потребляемой в часы больших суточных </w:t>
            </w: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нагрузок электрической сети, для потребителей, присоединенных к сетям напряжением ниже 220 кВ, определяются в соответствии с </w:t>
            </w:r>
            <w:hyperlink r:id="rId7" w:history="1">
              <w:r w:rsidRPr="004E17CB">
                <w:rPr>
                  <w:rFonts w:ascii="Times New Roman" w:hAnsi="Times New Roman" w:cs="Times New Roman"/>
                  <w:lang w:eastAsia="ru-RU"/>
                </w:rPr>
                <w:t>приложением</w:t>
              </w:r>
            </w:hyperlink>
            <w:r w:rsidRPr="004E17CB">
              <w:rPr>
                <w:rFonts w:ascii="Times New Roman" w:hAnsi="Times New Roman" w:cs="Times New Roman"/>
                <w:lang w:eastAsia="ru-RU"/>
              </w:rPr>
              <w:t xml:space="preserve"> к Приказу Минпромэнерго РФ от 22.02.2007 №49</w:t>
            </w:r>
          </w:p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2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2 часа 30 минут</w:t>
            </w:r>
          </w:p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Приказ Минпромэнерго РФ от 22.02.2007 №49</w:t>
            </w:r>
          </w:p>
        </w:tc>
      </w:tr>
      <w:tr w:rsidR="00211F5C" w:rsidRPr="004E17CB">
        <w:tc>
          <w:tcPr>
            <w:tcW w:w="165" w:type="pct"/>
          </w:tcPr>
          <w:p w:rsidR="00211F5C" w:rsidRPr="009D2DCE" w:rsidRDefault="00211F5C" w:rsidP="004E1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DC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572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 xml:space="preserve">Контроль значений соотношения потребления активной и реактивной мощности, направление </w:t>
            </w: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акта потребителю</w:t>
            </w:r>
          </w:p>
        </w:tc>
        <w:tc>
          <w:tcPr>
            <w:tcW w:w="960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 выявлении факта нарушения </w:t>
            </w:r>
          </w:p>
        </w:tc>
        <w:tc>
          <w:tcPr>
            <w:tcW w:w="1059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 xml:space="preserve">На основании показаний прибора учёта электроэнергии определяется факт соблюдения или нарушения значений соотношений потреблённой активной и реактивной мощности, при выявлении </w:t>
            </w: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факта нарушения составляется акт, который направляется потребителю</w:t>
            </w:r>
          </w:p>
        </w:tc>
        <w:tc>
          <w:tcPr>
            <w:tcW w:w="681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Письменное направление акта заказным письмом с уведомлением</w:t>
            </w:r>
          </w:p>
        </w:tc>
        <w:tc>
          <w:tcPr>
            <w:tcW w:w="692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 xml:space="preserve">В течение 30 дней с даты проведения соответствующей проверки или снятия контрольных показаний приборов учёта </w:t>
            </w: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электроэнергии</w:t>
            </w:r>
          </w:p>
        </w:tc>
        <w:tc>
          <w:tcPr>
            <w:tcW w:w="871" w:type="pct"/>
          </w:tcPr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lastRenderedPageBreak/>
              <w:t>Правила недискриминационного доступа;</w:t>
            </w:r>
          </w:p>
          <w:p w:rsidR="00211F5C" w:rsidRPr="004E17CB" w:rsidRDefault="00211F5C" w:rsidP="004E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7CB">
              <w:rPr>
                <w:rFonts w:ascii="Times New Roman" w:hAnsi="Times New Roman" w:cs="Times New Roman"/>
                <w:lang w:eastAsia="ru-RU"/>
              </w:rPr>
              <w:t>Приказ Минпромэнерго РФ от 22.02.2007 №49</w:t>
            </w:r>
          </w:p>
        </w:tc>
      </w:tr>
    </w:tbl>
    <w:p w:rsidR="00211F5C" w:rsidRDefault="00211F5C" w:rsidP="00B86B0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211F5C" w:rsidRPr="00CE5A05" w:rsidRDefault="00211F5C" w:rsidP="000D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ДЛЯ НАПРАВЛЕНИЯ ОБРАЩЕНИИЙ:</w:t>
      </w:r>
    </w:p>
    <w:p w:rsidR="00211F5C" w:rsidRPr="00287451" w:rsidRDefault="00211F5C" w:rsidP="000D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211F5C" w:rsidRDefault="00211F5C" w:rsidP="000D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211F5C" w:rsidRDefault="00211F5C" w:rsidP="000D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211F5C" w:rsidRDefault="00211F5C" w:rsidP="00B86B0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sectPr w:rsidR="00211F5C" w:rsidSect="00936EE3">
      <w:pgSz w:w="16838" w:h="11906" w:orient="landscape"/>
      <w:pgMar w:top="1560" w:right="850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75" w:rsidRDefault="00124975" w:rsidP="00DC7CA8">
      <w:pPr>
        <w:spacing w:after="0" w:line="240" w:lineRule="auto"/>
      </w:pPr>
      <w:r>
        <w:separator/>
      </w:r>
    </w:p>
  </w:endnote>
  <w:endnote w:type="continuationSeparator" w:id="0">
    <w:p w:rsidR="00124975" w:rsidRDefault="0012497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75" w:rsidRDefault="00124975" w:rsidP="00DC7CA8">
      <w:pPr>
        <w:spacing w:after="0" w:line="240" w:lineRule="auto"/>
      </w:pPr>
      <w:r>
        <w:separator/>
      </w:r>
    </w:p>
  </w:footnote>
  <w:footnote w:type="continuationSeparator" w:id="0">
    <w:p w:rsidR="00124975" w:rsidRDefault="00124975" w:rsidP="00DC7CA8">
      <w:pPr>
        <w:spacing w:after="0" w:line="240" w:lineRule="auto"/>
      </w:pPr>
      <w:r>
        <w:continuationSeparator/>
      </w:r>
    </w:p>
  </w:footnote>
  <w:footnote w:id="1">
    <w:p w:rsidR="00211F5C" w:rsidRDefault="00211F5C" w:rsidP="004D2FC8">
      <w:pPr>
        <w:pStyle w:val="ac"/>
        <w:jc w:val="both"/>
      </w:pPr>
      <w:r>
        <w:rPr>
          <w:rStyle w:val="ae"/>
        </w:rPr>
        <w:footnoteRef/>
      </w:r>
      <w:r w:rsidRPr="009D4EB7">
        <w:rPr>
          <w:rFonts w:ascii="Times New Roman" w:hAnsi="Times New Roman" w:cs="Times New Roman"/>
          <w:sz w:val="22"/>
          <w:szCs w:val="22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  <w:footnote w:id="2">
    <w:p w:rsidR="00211F5C" w:rsidRDefault="00211F5C" w:rsidP="004D2FC8">
      <w:pPr>
        <w:autoSpaceDE w:val="0"/>
        <w:autoSpaceDN w:val="0"/>
        <w:adjustRightInd w:val="0"/>
        <w:spacing w:after="0" w:line="240" w:lineRule="auto"/>
        <w:jc w:val="both"/>
      </w:pPr>
      <w:r w:rsidRPr="009D4EB7">
        <w:rPr>
          <w:rStyle w:val="ae"/>
        </w:rPr>
        <w:footnoteRef/>
      </w:r>
      <w:r w:rsidRPr="009D4EB7">
        <w:rPr>
          <w:rFonts w:ascii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9D4EB7">
        <w:rPr>
          <w:rFonts w:ascii="Times New Roman" w:hAnsi="Times New Roman" w:cs="Times New Roman"/>
        </w:rPr>
        <w:t>постановл</w:t>
      </w:r>
      <w:r>
        <w:rPr>
          <w:rFonts w:ascii="Times New Roman" w:hAnsi="Times New Roman" w:cs="Times New Roman"/>
        </w:rPr>
        <w:t xml:space="preserve">ением </w:t>
      </w:r>
      <w:r w:rsidRPr="009D4EB7">
        <w:rPr>
          <w:rFonts w:ascii="Times New Roman" w:hAnsi="Times New Roman" w:cs="Times New Roman"/>
        </w:rPr>
        <w:t>Правительства</w:t>
      </w:r>
      <w:r>
        <w:rPr>
          <w:rFonts w:ascii="Times New Roman" w:hAnsi="Times New Roman" w:cs="Times New Roman"/>
        </w:rPr>
        <w:t xml:space="preserve"> Российской Федерации</w:t>
      </w:r>
      <w:r w:rsidRPr="009D4EB7">
        <w:rPr>
          <w:rFonts w:ascii="Times New Roman" w:hAnsi="Times New Roman" w:cs="Times New Roman"/>
        </w:rPr>
        <w:t xml:space="preserve">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17E2F"/>
    <w:rsid w:val="00022F24"/>
    <w:rsid w:val="0002598C"/>
    <w:rsid w:val="00026177"/>
    <w:rsid w:val="0005277A"/>
    <w:rsid w:val="00064484"/>
    <w:rsid w:val="000653F9"/>
    <w:rsid w:val="00071519"/>
    <w:rsid w:val="000D0D64"/>
    <w:rsid w:val="000D40CC"/>
    <w:rsid w:val="0010623F"/>
    <w:rsid w:val="001173AA"/>
    <w:rsid w:val="00124975"/>
    <w:rsid w:val="001452AF"/>
    <w:rsid w:val="00166D9F"/>
    <w:rsid w:val="00182892"/>
    <w:rsid w:val="00187BF5"/>
    <w:rsid w:val="0019014D"/>
    <w:rsid w:val="001B3490"/>
    <w:rsid w:val="001D45A0"/>
    <w:rsid w:val="001E5246"/>
    <w:rsid w:val="00211F5C"/>
    <w:rsid w:val="00215B12"/>
    <w:rsid w:val="0022778E"/>
    <w:rsid w:val="00231805"/>
    <w:rsid w:val="00233155"/>
    <w:rsid w:val="00236123"/>
    <w:rsid w:val="00242530"/>
    <w:rsid w:val="00251BEC"/>
    <w:rsid w:val="0025213B"/>
    <w:rsid w:val="002770CC"/>
    <w:rsid w:val="00281CAD"/>
    <w:rsid w:val="00287451"/>
    <w:rsid w:val="002963F2"/>
    <w:rsid w:val="002978AF"/>
    <w:rsid w:val="002A3BA1"/>
    <w:rsid w:val="002A7B44"/>
    <w:rsid w:val="002C24EC"/>
    <w:rsid w:val="002F1579"/>
    <w:rsid w:val="003158CA"/>
    <w:rsid w:val="0032200A"/>
    <w:rsid w:val="0032230E"/>
    <w:rsid w:val="00326913"/>
    <w:rsid w:val="00347A15"/>
    <w:rsid w:val="003A6292"/>
    <w:rsid w:val="003B0EC4"/>
    <w:rsid w:val="003B555E"/>
    <w:rsid w:val="003C556E"/>
    <w:rsid w:val="003C5BC2"/>
    <w:rsid w:val="003D4D3D"/>
    <w:rsid w:val="003F39CA"/>
    <w:rsid w:val="003F5301"/>
    <w:rsid w:val="00401788"/>
    <w:rsid w:val="00405B1D"/>
    <w:rsid w:val="00420452"/>
    <w:rsid w:val="00442712"/>
    <w:rsid w:val="00443775"/>
    <w:rsid w:val="00450807"/>
    <w:rsid w:val="00464888"/>
    <w:rsid w:val="00490A50"/>
    <w:rsid w:val="004A4D60"/>
    <w:rsid w:val="004B23E3"/>
    <w:rsid w:val="004B5888"/>
    <w:rsid w:val="004D04E1"/>
    <w:rsid w:val="004D2FC8"/>
    <w:rsid w:val="004E17CB"/>
    <w:rsid w:val="004F205B"/>
    <w:rsid w:val="0051352D"/>
    <w:rsid w:val="00534E9A"/>
    <w:rsid w:val="005372CF"/>
    <w:rsid w:val="00557796"/>
    <w:rsid w:val="00560A16"/>
    <w:rsid w:val="00584BD8"/>
    <w:rsid w:val="005B627E"/>
    <w:rsid w:val="005C22A7"/>
    <w:rsid w:val="005D5F1F"/>
    <w:rsid w:val="00620C3D"/>
    <w:rsid w:val="00640439"/>
    <w:rsid w:val="0065173C"/>
    <w:rsid w:val="00666E7C"/>
    <w:rsid w:val="00675DBB"/>
    <w:rsid w:val="00677F5A"/>
    <w:rsid w:val="00684AE0"/>
    <w:rsid w:val="00690D12"/>
    <w:rsid w:val="006A3ACA"/>
    <w:rsid w:val="006D2EDE"/>
    <w:rsid w:val="006D674A"/>
    <w:rsid w:val="006F2514"/>
    <w:rsid w:val="006F446F"/>
    <w:rsid w:val="00745ADD"/>
    <w:rsid w:val="00762B2B"/>
    <w:rsid w:val="00776C32"/>
    <w:rsid w:val="0078335E"/>
    <w:rsid w:val="007919F1"/>
    <w:rsid w:val="007A2C8F"/>
    <w:rsid w:val="007E41FA"/>
    <w:rsid w:val="007F416A"/>
    <w:rsid w:val="008117CC"/>
    <w:rsid w:val="00823FF3"/>
    <w:rsid w:val="00824E68"/>
    <w:rsid w:val="008254DA"/>
    <w:rsid w:val="0082713E"/>
    <w:rsid w:val="00843CF4"/>
    <w:rsid w:val="008841C8"/>
    <w:rsid w:val="008A7526"/>
    <w:rsid w:val="008C2E25"/>
    <w:rsid w:val="008E16CB"/>
    <w:rsid w:val="009001F4"/>
    <w:rsid w:val="00904E58"/>
    <w:rsid w:val="009109D4"/>
    <w:rsid w:val="00936EE3"/>
    <w:rsid w:val="00941F1B"/>
    <w:rsid w:val="0099721F"/>
    <w:rsid w:val="009D2B06"/>
    <w:rsid w:val="009D2DCE"/>
    <w:rsid w:val="009D4EB7"/>
    <w:rsid w:val="009D7322"/>
    <w:rsid w:val="009F4A9F"/>
    <w:rsid w:val="00A22C5F"/>
    <w:rsid w:val="00A44E14"/>
    <w:rsid w:val="00A46250"/>
    <w:rsid w:val="00A474DD"/>
    <w:rsid w:val="00A705D8"/>
    <w:rsid w:val="00AF67C0"/>
    <w:rsid w:val="00B118E9"/>
    <w:rsid w:val="00B8308D"/>
    <w:rsid w:val="00B84849"/>
    <w:rsid w:val="00B86B0F"/>
    <w:rsid w:val="00B94952"/>
    <w:rsid w:val="00BA531D"/>
    <w:rsid w:val="00BB7AE2"/>
    <w:rsid w:val="00BD087E"/>
    <w:rsid w:val="00C02B7A"/>
    <w:rsid w:val="00C05A4F"/>
    <w:rsid w:val="00C20511"/>
    <w:rsid w:val="00C2064F"/>
    <w:rsid w:val="00C25F4B"/>
    <w:rsid w:val="00C30EC7"/>
    <w:rsid w:val="00C32197"/>
    <w:rsid w:val="00C379FF"/>
    <w:rsid w:val="00C514F8"/>
    <w:rsid w:val="00C55E12"/>
    <w:rsid w:val="00C63ED8"/>
    <w:rsid w:val="00C74D96"/>
    <w:rsid w:val="00CB401F"/>
    <w:rsid w:val="00CC1A0A"/>
    <w:rsid w:val="00CC211B"/>
    <w:rsid w:val="00CE5A05"/>
    <w:rsid w:val="00CF1785"/>
    <w:rsid w:val="00CF5567"/>
    <w:rsid w:val="00D022C8"/>
    <w:rsid w:val="00D34055"/>
    <w:rsid w:val="00D47D80"/>
    <w:rsid w:val="00D679FC"/>
    <w:rsid w:val="00DC7CA8"/>
    <w:rsid w:val="00DD2108"/>
    <w:rsid w:val="00DD6644"/>
    <w:rsid w:val="00E01206"/>
    <w:rsid w:val="00E36F56"/>
    <w:rsid w:val="00E5056E"/>
    <w:rsid w:val="00E53D9B"/>
    <w:rsid w:val="00E557B2"/>
    <w:rsid w:val="00E97B8A"/>
    <w:rsid w:val="00EA53BE"/>
    <w:rsid w:val="00ED70E2"/>
    <w:rsid w:val="00EE2C63"/>
    <w:rsid w:val="00EF19C1"/>
    <w:rsid w:val="00F4184B"/>
    <w:rsid w:val="00F87578"/>
    <w:rsid w:val="00FC12C4"/>
    <w:rsid w:val="00FC1E5A"/>
    <w:rsid w:val="00FC7863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rsid w:val="00936E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56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3E262118F82F2790178C320FEF314B3DE2040F5D67989067FE657ABDA0242003A6B5DF9B9D8yDR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739</Words>
  <Characters>4218</Characters>
  <Application>Microsoft Office Word</Application>
  <DocSecurity>0</DocSecurity>
  <Lines>35</Lines>
  <Paragraphs>9</Paragraphs>
  <ScaleCrop>false</ScaleCrop>
  <Company>МРСК Сибири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Мироненко Светлана Викторовна</cp:lastModifiedBy>
  <cp:revision>71</cp:revision>
  <cp:lastPrinted>2014-08-01T10:40:00Z</cp:lastPrinted>
  <dcterms:created xsi:type="dcterms:W3CDTF">2015-05-27T10:44:00Z</dcterms:created>
  <dcterms:modified xsi:type="dcterms:W3CDTF">2017-08-25T08:49:00Z</dcterms:modified>
</cp:coreProperties>
</file>