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77" w:rsidRPr="0075281B" w:rsidRDefault="00AF7477" w:rsidP="0075281B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  <w:r w:rsidRPr="0075281B">
        <w:rPr>
          <w:rFonts w:ascii="Times New Roman" w:hAnsi="Times New Roman" w:cs="Times New Roman"/>
          <w:sz w:val="24"/>
          <w:szCs w:val="24"/>
        </w:rPr>
        <w:t>Утвержден приказом</w:t>
      </w:r>
    </w:p>
    <w:p w:rsidR="00AF7477" w:rsidRPr="0075281B" w:rsidRDefault="00AF7477" w:rsidP="0075281B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  <w:r w:rsidRPr="0075281B">
        <w:rPr>
          <w:rFonts w:ascii="Times New Roman" w:hAnsi="Times New Roman" w:cs="Times New Roman"/>
          <w:sz w:val="24"/>
          <w:szCs w:val="24"/>
        </w:rPr>
        <w:t>ОАО «</w:t>
      </w:r>
      <w:r>
        <w:rPr>
          <w:rFonts w:ascii="Times New Roman" w:hAnsi="Times New Roman" w:cs="Times New Roman"/>
          <w:sz w:val="24"/>
          <w:szCs w:val="24"/>
        </w:rPr>
        <w:t>ЭТК</w:t>
      </w:r>
      <w:r w:rsidRPr="0075281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F7477" w:rsidRDefault="00AF7477" w:rsidP="0075281B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  <w:r w:rsidRPr="0075281B">
        <w:rPr>
          <w:rFonts w:ascii="Times New Roman" w:hAnsi="Times New Roman" w:cs="Times New Roman"/>
          <w:sz w:val="24"/>
          <w:szCs w:val="24"/>
        </w:rPr>
        <w:t xml:space="preserve">от </w:t>
      </w:r>
      <w:r w:rsidR="00466E49">
        <w:rPr>
          <w:rFonts w:ascii="Times New Roman" w:hAnsi="Times New Roman" w:cs="Times New Roman"/>
          <w:sz w:val="24"/>
          <w:szCs w:val="24"/>
        </w:rPr>
        <w:t xml:space="preserve"> 29.04.2016г. </w:t>
      </w:r>
      <w:r w:rsidRPr="0075281B">
        <w:rPr>
          <w:rFonts w:ascii="Times New Roman" w:hAnsi="Times New Roman" w:cs="Times New Roman"/>
          <w:sz w:val="24"/>
          <w:szCs w:val="24"/>
        </w:rPr>
        <w:t xml:space="preserve"> № </w:t>
      </w:r>
      <w:r w:rsidR="00466E49">
        <w:rPr>
          <w:rFonts w:ascii="Times New Roman" w:hAnsi="Times New Roman" w:cs="Times New Roman"/>
          <w:sz w:val="24"/>
          <w:szCs w:val="24"/>
        </w:rPr>
        <w:t>38</w:t>
      </w:r>
    </w:p>
    <w:p w:rsidR="00AF7477" w:rsidRDefault="00AF7477" w:rsidP="0075281B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</w:p>
    <w:p w:rsidR="00AF7477" w:rsidRDefault="00AF7477" w:rsidP="0075281B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</w:p>
    <w:p w:rsidR="00AF7477" w:rsidRPr="0075281B" w:rsidRDefault="00AF7477" w:rsidP="0075281B">
      <w:pPr>
        <w:keepNext/>
        <w:keepLines/>
        <w:spacing w:after="0" w:line="240" w:lineRule="auto"/>
        <w:ind w:left="11766"/>
        <w:outlineLvl w:val="0"/>
        <w:rPr>
          <w:rFonts w:ascii="Times New Roman" w:hAnsi="Times New Roman" w:cs="Times New Roman"/>
          <w:sz w:val="24"/>
          <w:szCs w:val="24"/>
        </w:rPr>
      </w:pPr>
    </w:p>
    <w:p w:rsidR="00AF7477" w:rsidRDefault="00AF7477" w:rsidP="006032B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ОАО «Электротехнический комплекс»</w:t>
      </w:r>
    </w:p>
    <w:p w:rsidR="00AF7477" w:rsidRPr="00603A9B" w:rsidRDefault="00AF7477" w:rsidP="00603A9B">
      <w:pPr>
        <w:pStyle w:val="1"/>
        <w:spacing w:before="0" w:line="240" w:lineRule="auto"/>
        <w:jc w:val="center"/>
        <w:rPr>
          <w:rFonts w:cs="Times New Roman"/>
          <w:sz w:val="24"/>
          <w:szCs w:val="24"/>
        </w:rPr>
      </w:pPr>
    </w:p>
    <w:p w:rsidR="00AF7477" w:rsidRPr="00AA2757" w:rsidRDefault="00AF7477" w:rsidP="006032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A2757">
        <w:rPr>
          <w:rFonts w:ascii="Times New Roman" w:hAnsi="Times New Roman" w:cs="Times New Roman"/>
          <w:color w:val="auto"/>
          <w:sz w:val="24"/>
          <w:szCs w:val="24"/>
        </w:rPr>
        <w:t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(МОЩНОСТИ), А ТАКЖЕ МЕТРОЛОГИЧЕСКИХ ХАРАКТЕРИСТИК ПРИБОРА УЧЕТА</w:t>
      </w:r>
    </w:p>
    <w:p w:rsidR="00AF7477" w:rsidRPr="00AA2757" w:rsidRDefault="00AF7477" w:rsidP="006032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7" w:rsidRPr="00AA2757" w:rsidRDefault="00AF7477" w:rsidP="006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Fonts w:ascii="Times New Roman" w:hAnsi="Times New Roman" w:cs="Times New Roman"/>
          <w:b/>
          <w:bCs/>
          <w:sz w:val="24"/>
          <w:szCs w:val="24"/>
        </w:rPr>
        <w:t xml:space="preserve">КРУГ ЗАЯВИТЕЛЕЙ (ПОТРЕБИТЕЛЕЙ): </w:t>
      </w:r>
      <w:r w:rsidRPr="00AA2757">
        <w:rPr>
          <w:rFonts w:ascii="Times New Roman" w:hAnsi="Times New Roman" w:cs="Times New Roman"/>
          <w:sz w:val="24"/>
          <w:szCs w:val="24"/>
        </w:rPr>
        <w:t>физические лица, юридические лица, индивидуальные предприниматели, территориальные сетевые организации, гарантирующие поставщики (энергосбытовые, энергоснабжающие организации).</w:t>
      </w:r>
    </w:p>
    <w:p w:rsidR="00AF7477" w:rsidRPr="00533747" w:rsidRDefault="00AF7477" w:rsidP="006032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 ЗА </w:t>
      </w:r>
      <w:r w:rsidRPr="00533747">
        <w:rPr>
          <w:rFonts w:ascii="Times New Roman" w:hAnsi="Times New Roman" w:cs="Times New Roman"/>
          <w:b/>
          <w:bCs/>
          <w:sz w:val="24"/>
          <w:szCs w:val="24"/>
        </w:rPr>
        <w:t>ПРЕДОСТАВЛЕНИЕ УСЛУГИ (ПРОЦЕССА) И ОСНОВАНИЕ ЕЕ ВЗИМАНИЯ:</w:t>
      </w:r>
      <w:r w:rsidR="00533747" w:rsidRPr="00533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3747">
        <w:rPr>
          <w:rFonts w:ascii="Times New Roman" w:hAnsi="Times New Roman" w:cs="Times New Roman"/>
          <w:sz w:val="24"/>
          <w:szCs w:val="24"/>
        </w:rPr>
        <w:t>без взимания платы, либо в соответствии с условиями заключенного договора (для территориальных сетевых организаций, гарантирующих поставщиков (энергосбытовых, энергоснабжающих организаций).</w:t>
      </w:r>
      <w:proofErr w:type="gramEnd"/>
    </w:p>
    <w:p w:rsidR="00AF7477" w:rsidRPr="00533747" w:rsidRDefault="00AF7477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47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УСЛУГИ (ПРОЦЕССА):</w:t>
      </w:r>
      <w:r w:rsidR="00533747" w:rsidRPr="00533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3747">
        <w:rPr>
          <w:rFonts w:ascii="Times New Roman" w:hAnsi="Times New Roman" w:cs="Times New Roman"/>
          <w:sz w:val="24"/>
          <w:szCs w:val="24"/>
        </w:rPr>
        <w:t>энергопринимающее устройство, в отношении которого планируется установка прибора учета, непосредственно или опосредованно подключено к электрическим сетям ОАО «ЭТК»; наличие письменной заявки.</w:t>
      </w:r>
    </w:p>
    <w:p w:rsidR="00AF7477" w:rsidRPr="00AA2757" w:rsidRDefault="00AF7477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4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ОКАЗАНИЯ УСЛУГИ (ПРОЦЕССА): </w:t>
      </w:r>
      <w:r w:rsidRPr="00533747">
        <w:rPr>
          <w:rFonts w:ascii="Times New Roman" w:hAnsi="Times New Roman" w:cs="Times New Roman"/>
          <w:sz w:val="24"/>
          <w:szCs w:val="24"/>
        </w:rPr>
        <w:t>согласование либо несогласование места установки прибора учета электрической энергии (мощности), схемы подключения прибора</w:t>
      </w:r>
      <w:r w:rsidRPr="00AA2757">
        <w:rPr>
          <w:rFonts w:ascii="Times New Roman" w:hAnsi="Times New Roman" w:cs="Times New Roman"/>
          <w:sz w:val="24"/>
          <w:szCs w:val="24"/>
        </w:rPr>
        <w:t xml:space="preserve"> учета и иных компонентов измерительных комплексов и систем учета электрической энергии (мощности), а также метрологических характеристик прибора учета.</w:t>
      </w:r>
    </w:p>
    <w:p w:rsidR="00AF7477" w:rsidRPr="00AA2757" w:rsidRDefault="00AF7477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Fonts w:ascii="Times New Roman" w:hAnsi="Times New Roman" w:cs="Times New Roman"/>
          <w:b/>
          <w:bCs/>
          <w:sz w:val="24"/>
          <w:szCs w:val="24"/>
        </w:rPr>
        <w:t xml:space="preserve">ОБЩИЙ СРОК ОКАЗАНИЯ УСЛУГИ (ПРОЦЕССА): </w:t>
      </w:r>
      <w:r w:rsidRPr="00AA2757">
        <w:rPr>
          <w:rFonts w:ascii="Times New Roman" w:hAnsi="Times New Roman" w:cs="Times New Roman"/>
          <w:sz w:val="24"/>
          <w:szCs w:val="24"/>
        </w:rPr>
        <w:t>не позднее 15 рабочих дней с момента подачи заявки физическим лицом, юридическим лицом, индивидуальным предпринимателем или территориальной сетевой организацией; не позднее 12 рабочих дней с момента подачи заявки гарантирующим поставщиком (энергосбытовой, энергоснабжающей организацией).</w:t>
      </w:r>
    </w:p>
    <w:p w:rsidR="00AF7477" w:rsidRPr="00AA2757" w:rsidRDefault="00AF7477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2757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AF7477" w:rsidRPr="00AA2757" w:rsidRDefault="00AF7477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7" w:rsidRDefault="00AF7477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AF7477" w:rsidRDefault="00AF7477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bookmarkStart w:id="0" w:name="_GoBack"/>
      <w:bookmarkEnd w:id="0"/>
    </w:p>
    <w:tbl>
      <w:tblPr>
        <w:tblW w:w="494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AF7477" w:rsidRPr="0013113B">
        <w:trPr>
          <w:tblHeader/>
        </w:trPr>
        <w:tc>
          <w:tcPr>
            <w:tcW w:w="166" w:type="pct"/>
            <w:shd w:val="clear" w:color="auto" w:fill="595959"/>
          </w:tcPr>
          <w:p w:rsidR="00AF7477" w:rsidRPr="00AA2757" w:rsidRDefault="00AF7477" w:rsidP="0013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A2757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39" w:type="pct"/>
            <w:shd w:val="clear" w:color="auto" w:fill="595959"/>
          </w:tcPr>
          <w:p w:rsidR="00AF7477" w:rsidRPr="0013113B" w:rsidRDefault="00AF7477" w:rsidP="0013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3113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595959"/>
          </w:tcPr>
          <w:p w:rsidR="00AF7477" w:rsidRPr="0013113B" w:rsidRDefault="00AF7477" w:rsidP="0013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3113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1006" w:type="pct"/>
            <w:shd w:val="clear" w:color="auto" w:fill="595959"/>
          </w:tcPr>
          <w:p w:rsidR="00AF7477" w:rsidRPr="0013113B" w:rsidRDefault="00AF7477" w:rsidP="0013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3113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595959"/>
          </w:tcPr>
          <w:p w:rsidR="00AF7477" w:rsidRPr="0013113B" w:rsidRDefault="00AF7477" w:rsidP="0013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3113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15" w:type="pct"/>
            <w:shd w:val="clear" w:color="auto" w:fill="595959"/>
          </w:tcPr>
          <w:p w:rsidR="00AF7477" w:rsidRPr="0013113B" w:rsidRDefault="00AF7477" w:rsidP="0013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3113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877" w:type="pct"/>
            <w:shd w:val="clear" w:color="auto" w:fill="595959"/>
          </w:tcPr>
          <w:p w:rsidR="00AF7477" w:rsidRPr="0013113B" w:rsidRDefault="00AF7477" w:rsidP="0013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3113B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AF7477" w:rsidRPr="0013113B">
        <w:tc>
          <w:tcPr>
            <w:tcW w:w="166" w:type="pct"/>
          </w:tcPr>
          <w:p w:rsidR="00AF7477" w:rsidRPr="00AA2757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A275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39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 xml:space="preserve">Обращение </w:t>
            </w:r>
            <w:r w:rsidRPr="0013113B">
              <w:rPr>
                <w:rFonts w:ascii="Times New Roman" w:hAnsi="Times New Roman" w:cs="Times New Roman"/>
                <w:lang w:eastAsia="ru-RU"/>
              </w:rPr>
              <w:lastRenderedPageBreak/>
              <w:t>потребителя с запросом о согласовании</w:t>
            </w:r>
          </w:p>
        </w:tc>
        <w:tc>
          <w:tcPr>
            <w:tcW w:w="908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lastRenderedPageBreak/>
              <w:t xml:space="preserve">Технологическое </w:t>
            </w:r>
            <w:r w:rsidRPr="0013113B">
              <w:rPr>
                <w:rFonts w:ascii="Times New Roman" w:hAnsi="Times New Roman" w:cs="Times New Roman"/>
                <w:lang w:eastAsia="ru-RU"/>
              </w:rPr>
              <w:lastRenderedPageBreak/>
              <w:t>присоединение к электрическим сетям сетевой организации (в том числе опосредованно) в установленном порядке энергопринимающих устройств заявителя</w:t>
            </w:r>
          </w:p>
        </w:tc>
        <w:tc>
          <w:tcPr>
            <w:tcW w:w="1006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lastRenderedPageBreak/>
              <w:t xml:space="preserve">Обращение потребителя с </w:t>
            </w:r>
            <w:r w:rsidRPr="0013113B">
              <w:rPr>
                <w:rFonts w:ascii="Times New Roman" w:hAnsi="Times New Roman" w:cs="Times New Roman"/>
              </w:rPr>
              <w:lastRenderedPageBreak/>
              <w:t>запросом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789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Личное обращение и </w:t>
            </w:r>
            <w:r w:rsidRPr="0013113B">
              <w:rPr>
                <w:rFonts w:ascii="Times New Roman" w:hAnsi="Times New Roman" w:cs="Times New Roman"/>
                <w:lang w:eastAsia="ru-RU"/>
              </w:rPr>
              <w:lastRenderedPageBreak/>
              <w:t>оформление письменной заявки, письменное обращение заказным письмом с уведомлением</w:t>
            </w:r>
          </w:p>
        </w:tc>
        <w:tc>
          <w:tcPr>
            <w:tcW w:w="615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lastRenderedPageBreak/>
              <w:t>Не ограничен</w:t>
            </w:r>
          </w:p>
        </w:tc>
        <w:tc>
          <w:tcPr>
            <w:tcW w:w="877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 xml:space="preserve">п. 148 Основных </w:t>
            </w:r>
            <w:r w:rsidRPr="0013113B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положений функционирования розничных рынков электрической энергии (утв. Постановлением </w:t>
            </w:r>
          </w:p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AF7477" w:rsidRPr="0013113B">
        <w:trPr>
          <w:trHeight w:val="1122"/>
        </w:trPr>
        <w:tc>
          <w:tcPr>
            <w:tcW w:w="166" w:type="pct"/>
          </w:tcPr>
          <w:p w:rsidR="00AF7477" w:rsidRPr="00AA2757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A275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639" w:type="pct"/>
          </w:tcPr>
          <w:p w:rsidR="00AF7477" w:rsidRPr="0013113B" w:rsidRDefault="00AF7477" w:rsidP="0013113B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</w:rPr>
            </w:pPr>
            <w:r w:rsidRPr="0013113B">
              <w:rPr>
                <w:rFonts w:ascii="Times New Roman" w:hAnsi="Times New Roman" w:cs="Times New Roman"/>
              </w:rPr>
              <w:t>Проверка заявки</w:t>
            </w:r>
          </w:p>
        </w:tc>
        <w:tc>
          <w:tcPr>
            <w:tcW w:w="908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>Наличие в запросе необходимых сведений:</w:t>
            </w:r>
          </w:p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>- место нахождения и технические характеристики энергопринимающего устройства;</w:t>
            </w:r>
          </w:p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>- места установки существующих приборов учета;</w:t>
            </w:r>
          </w:p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 xml:space="preserve">- предлагаемые места установки прибора учета, метрологические </w:t>
            </w:r>
            <w:r w:rsidRPr="0013113B">
              <w:rPr>
                <w:rFonts w:ascii="Times New Roman" w:hAnsi="Times New Roman" w:cs="Times New Roman"/>
                <w:lang w:eastAsia="ru-RU"/>
              </w:rPr>
              <w:lastRenderedPageBreak/>
              <w:t>характеристики прибора учета (в случае наличия у заявителя таких предложений).</w:t>
            </w:r>
          </w:p>
        </w:tc>
        <w:tc>
          <w:tcPr>
            <w:tcW w:w="1006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lastRenderedPageBreak/>
              <w:t>Проверка заявки подразделением, в которое она поступила, оценка корректности ее заполнения. Уведомление заявителя о выявленных замечаниях (в случае их наличия)</w:t>
            </w:r>
          </w:p>
        </w:tc>
        <w:tc>
          <w:tcPr>
            <w:tcW w:w="789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Любой способ уведомления заявителя</w:t>
            </w:r>
          </w:p>
        </w:tc>
        <w:tc>
          <w:tcPr>
            <w:tcW w:w="615" w:type="pct"/>
          </w:tcPr>
          <w:p w:rsidR="00AF7477" w:rsidRPr="0013113B" w:rsidRDefault="00AF7477" w:rsidP="0013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13B">
              <w:rPr>
                <w:rFonts w:ascii="Times New Roman" w:hAnsi="Times New Roman" w:cs="Times New Roman"/>
              </w:rPr>
              <w:t>Не позднее 3 рабочих дней с момента получения заявки</w:t>
            </w:r>
          </w:p>
        </w:tc>
        <w:tc>
          <w:tcPr>
            <w:tcW w:w="877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Приказ Министерства энергетики Российской Федерации от 07.04.2010 №149</w:t>
            </w:r>
          </w:p>
        </w:tc>
      </w:tr>
      <w:tr w:rsidR="00AF7477" w:rsidRPr="0013113B">
        <w:trPr>
          <w:trHeight w:val="1122"/>
        </w:trPr>
        <w:tc>
          <w:tcPr>
            <w:tcW w:w="166" w:type="pct"/>
          </w:tcPr>
          <w:p w:rsidR="00AF7477" w:rsidRPr="00AA2757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A275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639" w:type="pct"/>
          </w:tcPr>
          <w:p w:rsidR="00AF7477" w:rsidRPr="0013113B" w:rsidRDefault="00AF7477" w:rsidP="0013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>Осмотр объекта сетевой организацией</w:t>
            </w:r>
          </w:p>
        </w:tc>
        <w:tc>
          <w:tcPr>
            <w:tcW w:w="908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Заявитель обязан предоставить доступ к объекту (прибору учета) для осмотра</w:t>
            </w:r>
          </w:p>
        </w:tc>
        <w:tc>
          <w:tcPr>
            <w:tcW w:w="1006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Осмотр объекта с целью проверки наличия технической возможности установки прибора учета.</w:t>
            </w:r>
            <w:r w:rsidRPr="0013113B">
              <w:t xml:space="preserve"> С</w:t>
            </w:r>
            <w:r w:rsidRPr="0013113B">
              <w:rPr>
                <w:rFonts w:ascii="Times New Roman" w:hAnsi="Times New Roman" w:cs="Times New Roman"/>
              </w:rPr>
              <w:t xml:space="preserve">етевая организация информирует заявителя о планируемой дате осмотра. </w:t>
            </w:r>
          </w:p>
        </w:tc>
        <w:tc>
          <w:tcPr>
            <w:tcW w:w="789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Любой способ уведомления заявителя</w:t>
            </w:r>
          </w:p>
        </w:tc>
        <w:tc>
          <w:tcPr>
            <w:tcW w:w="615" w:type="pct"/>
          </w:tcPr>
          <w:p w:rsidR="00AF7477" w:rsidRPr="0013113B" w:rsidRDefault="00AF7477" w:rsidP="0013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Не позднее 10 рабочих дней с момента получения корректно заполненной заявки, а также всех необходимых документов к ней</w:t>
            </w:r>
          </w:p>
        </w:tc>
        <w:tc>
          <w:tcPr>
            <w:tcW w:w="877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Приказ Министерства энергетики Российской Федерации от 07.04.2010 №149</w:t>
            </w:r>
          </w:p>
        </w:tc>
      </w:tr>
      <w:tr w:rsidR="00AF7477" w:rsidRPr="0013113B">
        <w:trPr>
          <w:trHeight w:val="75"/>
        </w:trPr>
        <w:tc>
          <w:tcPr>
            <w:tcW w:w="166" w:type="pct"/>
          </w:tcPr>
          <w:p w:rsidR="00AF7477" w:rsidRPr="00AA2757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A2757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39" w:type="pct"/>
          </w:tcPr>
          <w:p w:rsidR="00AF7477" w:rsidRPr="0013113B" w:rsidRDefault="00AF7477" w:rsidP="001311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13B">
              <w:rPr>
                <w:rFonts w:ascii="Times New Roman" w:hAnsi="Times New Roman" w:cs="Times New Roman"/>
              </w:rPr>
              <w:t xml:space="preserve">Направление ответа заявителю  </w:t>
            </w:r>
          </w:p>
        </w:tc>
        <w:tc>
          <w:tcPr>
            <w:tcW w:w="908" w:type="pct"/>
          </w:tcPr>
          <w:p w:rsidR="00AF7477" w:rsidRPr="0013113B" w:rsidRDefault="00AF7477" w:rsidP="0013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13B">
              <w:rPr>
                <w:rFonts w:ascii="Times New Roman" w:hAnsi="Times New Roman" w:cs="Times New Roman"/>
              </w:rPr>
              <w:t>Причины направления отказа:</w:t>
            </w:r>
          </w:p>
          <w:p w:rsidR="00AF7477" w:rsidRPr="0013113B" w:rsidRDefault="00AF7477" w:rsidP="0013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13B">
              <w:rPr>
                <w:rFonts w:ascii="Times New Roman" w:hAnsi="Times New Roman" w:cs="Times New Roman"/>
              </w:rPr>
              <w:t>- отсутствие технической возможности осуществления установки системы учета или прибора учета на объектах сетевой организации;</w:t>
            </w:r>
          </w:p>
          <w:p w:rsidR="00AF7477" w:rsidRPr="0013113B" w:rsidRDefault="00AF7477" w:rsidP="0013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 xml:space="preserve"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</w:t>
            </w:r>
            <w:r w:rsidRPr="0013113B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006" w:type="pct"/>
          </w:tcPr>
          <w:p w:rsidR="00AF7477" w:rsidRPr="0013113B" w:rsidRDefault="00AF7477" w:rsidP="001311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13B">
              <w:rPr>
                <w:rFonts w:ascii="Times New Roman" w:hAnsi="Times New Roman" w:cs="Times New Roman"/>
              </w:rPr>
              <w:lastRenderedPageBreak/>
              <w:t xml:space="preserve">Направление ответа заявителю о согласовании, либо мотивированного отказа в согласовании места установки прибора учета электрической энергии (мощности), </w:t>
            </w:r>
          </w:p>
          <w:p w:rsidR="00AF7477" w:rsidRPr="0013113B" w:rsidRDefault="00AF7477" w:rsidP="001311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13B">
              <w:rPr>
                <w:rFonts w:ascii="Times New Roman" w:hAnsi="Times New Roman" w:cs="Times New Roman"/>
              </w:rPr>
              <w:t xml:space="preserve">схемы подключения прибора учета и иных компонентов измерительных комплексов </w:t>
            </w:r>
          </w:p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и систем учета электрической энергии (мощности), а также метрологических характеристик прибора учета</w:t>
            </w:r>
          </w:p>
        </w:tc>
        <w:tc>
          <w:tcPr>
            <w:tcW w:w="789" w:type="pct"/>
          </w:tcPr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  <w:lang w:eastAsia="ru-RU"/>
              </w:rPr>
              <w:t>Письменное уведомление заказным письмом с уведомлением</w:t>
            </w:r>
          </w:p>
        </w:tc>
        <w:tc>
          <w:tcPr>
            <w:tcW w:w="615" w:type="pct"/>
          </w:tcPr>
          <w:p w:rsidR="00AF7477" w:rsidRPr="0013113B" w:rsidRDefault="00AF7477" w:rsidP="001311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13B">
              <w:rPr>
                <w:rFonts w:ascii="Times New Roman" w:hAnsi="Times New Roman" w:cs="Times New Roman"/>
              </w:rPr>
              <w:t>Не позднее 12 рабочих дней с момента получения заявки от гарантирующего поставщика;</w:t>
            </w:r>
          </w:p>
          <w:p w:rsidR="00AF7477" w:rsidRPr="0013113B" w:rsidRDefault="00AF7477" w:rsidP="0013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не позднее 15 рабочих дней с момента получения заявки от остальных групп заявителей</w:t>
            </w:r>
          </w:p>
        </w:tc>
        <w:tc>
          <w:tcPr>
            <w:tcW w:w="877" w:type="pct"/>
          </w:tcPr>
          <w:p w:rsidR="00AF7477" w:rsidRPr="0013113B" w:rsidRDefault="00AF7477" w:rsidP="001311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113B">
              <w:rPr>
                <w:rFonts w:ascii="Times New Roman" w:hAnsi="Times New Roman" w:cs="Times New Roman"/>
              </w:rPr>
              <w:t xml:space="preserve">п. 148 Основных положений функционирования розничных рынков электрической энергии (утв. Постановлением </w:t>
            </w:r>
          </w:p>
          <w:p w:rsidR="00AF7477" w:rsidRPr="0013113B" w:rsidRDefault="00AF7477" w:rsidP="001311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113B">
              <w:rPr>
                <w:rFonts w:ascii="Times New Roman" w:hAnsi="Times New Roman" w:cs="Times New Roman"/>
              </w:rPr>
              <w:t>Правительства РФ от 04.05.2012 № 442)</w:t>
            </w:r>
          </w:p>
        </w:tc>
      </w:tr>
    </w:tbl>
    <w:p w:rsidR="00AF7477" w:rsidRPr="006032B0" w:rsidRDefault="00AF7477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AF7477" w:rsidRPr="00CE5A05" w:rsidRDefault="00AF7477" w:rsidP="0011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ДЛЯ НАПРАВЛЕНИЯ ОБРАЩЕНИИЙ:</w:t>
      </w:r>
    </w:p>
    <w:p w:rsidR="00AF7477" w:rsidRPr="00287451" w:rsidRDefault="00AF7477" w:rsidP="0011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AF7477" w:rsidRDefault="00AF7477" w:rsidP="0011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AF7477" w:rsidRDefault="00AF7477" w:rsidP="0011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AF7477" w:rsidRPr="001D0DEC" w:rsidRDefault="00AF7477" w:rsidP="00C630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77" w:rsidRPr="006032B0" w:rsidRDefault="00AF7477" w:rsidP="006032B0">
      <w:pPr>
        <w:pStyle w:val="ConsPlusNormal"/>
        <w:ind w:firstLine="540"/>
        <w:jc w:val="both"/>
        <w:rPr>
          <w:sz w:val="24"/>
          <w:szCs w:val="24"/>
        </w:rPr>
      </w:pPr>
    </w:p>
    <w:sectPr w:rsidR="00AF7477" w:rsidRPr="006032B0" w:rsidSect="00D76A81">
      <w:pgSz w:w="16838" w:h="11906" w:orient="landscape"/>
      <w:pgMar w:top="1418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C7" w:rsidRDefault="006338C7" w:rsidP="00DC7CA8">
      <w:pPr>
        <w:spacing w:after="0" w:line="240" w:lineRule="auto"/>
      </w:pPr>
      <w:r>
        <w:separator/>
      </w:r>
    </w:p>
  </w:endnote>
  <w:endnote w:type="continuationSeparator" w:id="0">
    <w:p w:rsidR="006338C7" w:rsidRDefault="006338C7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C7" w:rsidRDefault="006338C7" w:rsidP="00DC7CA8">
      <w:pPr>
        <w:spacing w:after="0" w:line="240" w:lineRule="auto"/>
      </w:pPr>
      <w:r>
        <w:separator/>
      </w:r>
    </w:p>
  </w:footnote>
  <w:footnote w:type="continuationSeparator" w:id="0">
    <w:p w:rsidR="006338C7" w:rsidRDefault="006338C7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13BF0"/>
    <w:rsid w:val="000164EE"/>
    <w:rsid w:val="00022F24"/>
    <w:rsid w:val="00026177"/>
    <w:rsid w:val="00041665"/>
    <w:rsid w:val="00055711"/>
    <w:rsid w:val="000653F9"/>
    <w:rsid w:val="00083C19"/>
    <w:rsid w:val="00094BC5"/>
    <w:rsid w:val="000D0D64"/>
    <w:rsid w:val="00100F9A"/>
    <w:rsid w:val="00110684"/>
    <w:rsid w:val="0013113B"/>
    <w:rsid w:val="00143C0C"/>
    <w:rsid w:val="001452AF"/>
    <w:rsid w:val="00166D9F"/>
    <w:rsid w:val="001700D2"/>
    <w:rsid w:val="00182892"/>
    <w:rsid w:val="00187BF5"/>
    <w:rsid w:val="0019014D"/>
    <w:rsid w:val="001A09A2"/>
    <w:rsid w:val="001B05D3"/>
    <w:rsid w:val="001D0DEC"/>
    <w:rsid w:val="001D45A0"/>
    <w:rsid w:val="002154AC"/>
    <w:rsid w:val="00225FDC"/>
    <w:rsid w:val="0022778E"/>
    <w:rsid w:val="00231805"/>
    <w:rsid w:val="00233155"/>
    <w:rsid w:val="00242530"/>
    <w:rsid w:val="00251BEC"/>
    <w:rsid w:val="00251D7D"/>
    <w:rsid w:val="002731DC"/>
    <w:rsid w:val="00287451"/>
    <w:rsid w:val="002963F2"/>
    <w:rsid w:val="002978AF"/>
    <w:rsid w:val="002A3BA1"/>
    <w:rsid w:val="002D642D"/>
    <w:rsid w:val="002F4276"/>
    <w:rsid w:val="002F6A85"/>
    <w:rsid w:val="00302B75"/>
    <w:rsid w:val="0032200A"/>
    <w:rsid w:val="00326913"/>
    <w:rsid w:val="00342925"/>
    <w:rsid w:val="00347A15"/>
    <w:rsid w:val="003A6292"/>
    <w:rsid w:val="003C1C48"/>
    <w:rsid w:val="003C556E"/>
    <w:rsid w:val="003D4D3D"/>
    <w:rsid w:val="003F5301"/>
    <w:rsid w:val="00402DC7"/>
    <w:rsid w:val="00405B1D"/>
    <w:rsid w:val="00443775"/>
    <w:rsid w:val="00466E49"/>
    <w:rsid w:val="004A4D60"/>
    <w:rsid w:val="004B4C2E"/>
    <w:rsid w:val="004E3074"/>
    <w:rsid w:val="00507A0C"/>
    <w:rsid w:val="00533747"/>
    <w:rsid w:val="00543E08"/>
    <w:rsid w:val="00554995"/>
    <w:rsid w:val="00557796"/>
    <w:rsid w:val="00573CFF"/>
    <w:rsid w:val="00584BD8"/>
    <w:rsid w:val="00587AB6"/>
    <w:rsid w:val="005A012A"/>
    <w:rsid w:val="005B627E"/>
    <w:rsid w:val="005C22A7"/>
    <w:rsid w:val="005E632E"/>
    <w:rsid w:val="005F75B1"/>
    <w:rsid w:val="006032B0"/>
    <w:rsid w:val="00603A9B"/>
    <w:rsid w:val="00620C3D"/>
    <w:rsid w:val="006338C7"/>
    <w:rsid w:val="00640439"/>
    <w:rsid w:val="0065173C"/>
    <w:rsid w:val="00654650"/>
    <w:rsid w:val="00666E7C"/>
    <w:rsid w:val="00677F5A"/>
    <w:rsid w:val="00690D12"/>
    <w:rsid w:val="006A0654"/>
    <w:rsid w:val="006D2507"/>
    <w:rsid w:val="006D2EDE"/>
    <w:rsid w:val="006F2514"/>
    <w:rsid w:val="006F446F"/>
    <w:rsid w:val="00741823"/>
    <w:rsid w:val="0075281B"/>
    <w:rsid w:val="00762B2B"/>
    <w:rsid w:val="00765CEC"/>
    <w:rsid w:val="00776C32"/>
    <w:rsid w:val="0078335E"/>
    <w:rsid w:val="007E41FA"/>
    <w:rsid w:val="007F7353"/>
    <w:rsid w:val="00824E68"/>
    <w:rsid w:val="008254DA"/>
    <w:rsid w:val="0082713E"/>
    <w:rsid w:val="008A0889"/>
    <w:rsid w:val="008A4645"/>
    <w:rsid w:val="008C2E25"/>
    <w:rsid w:val="008C66B6"/>
    <w:rsid w:val="008E16CB"/>
    <w:rsid w:val="009001F4"/>
    <w:rsid w:val="00904E58"/>
    <w:rsid w:val="009064E3"/>
    <w:rsid w:val="009D7322"/>
    <w:rsid w:val="00A05CC8"/>
    <w:rsid w:val="00A210DB"/>
    <w:rsid w:val="00A26691"/>
    <w:rsid w:val="00A44E14"/>
    <w:rsid w:val="00A474DD"/>
    <w:rsid w:val="00A53557"/>
    <w:rsid w:val="00A8073F"/>
    <w:rsid w:val="00A85935"/>
    <w:rsid w:val="00A8664D"/>
    <w:rsid w:val="00AA1CC6"/>
    <w:rsid w:val="00AA2757"/>
    <w:rsid w:val="00AC78D8"/>
    <w:rsid w:val="00AF67C0"/>
    <w:rsid w:val="00AF7477"/>
    <w:rsid w:val="00B118E9"/>
    <w:rsid w:val="00B259CD"/>
    <w:rsid w:val="00B42391"/>
    <w:rsid w:val="00B503CD"/>
    <w:rsid w:val="00B57649"/>
    <w:rsid w:val="00B8308D"/>
    <w:rsid w:val="00B92121"/>
    <w:rsid w:val="00BA531D"/>
    <w:rsid w:val="00BB7AE2"/>
    <w:rsid w:val="00BD087E"/>
    <w:rsid w:val="00BD1C7B"/>
    <w:rsid w:val="00BE5E16"/>
    <w:rsid w:val="00C02B7A"/>
    <w:rsid w:val="00C05A4F"/>
    <w:rsid w:val="00C20511"/>
    <w:rsid w:val="00C2064F"/>
    <w:rsid w:val="00C21118"/>
    <w:rsid w:val="00C25F4B"/>
    <w:rsid w:val="00C379FF"/>
    <w:rsid w:val="00C45AAE"/>
    <w:rsid w:val="00C56E9C"/>
    <w:rsid w:val="00C630C4"/>
    <w:rsid w:val="00C63ED8"/>
    <w:rsid w:val="00C74D96"/>
    <w:rsid w:val="00C84F14"/>
    <w:rsid w:val="00C8718B"/>
    <w:rsid w:val="00CC1A0A"/>
    <w:rsid w:val="00CC211B"/>
    <w:rsid w:val="00CD556D"/>
    <w:rsid w:val="00CE5A05"/>
    <w:rsid w:val="00CF1E2B"/>
    <w:rsid w:val="00CF516B"/>
    <w:rsid w:val="00D47D80"/>
    <w:rsid w:val="00D56C8F"/>
    <w:rsid w:val="00D679FC"/>
    <w:rsid w:val="00D75D25"/>
    <w:rsid w:val="00D76A81"/>
    <w:rsid w:val="00D870EE"/>
    <w:rsid w:val="00DC7CA8"/>
    <w:rsid w:val="00DD0502"/>
    <w:rsid w:val="00DF4464"/>
    <w:rsid w:val="00E36F56"/>
    <w:rsid w:val="00E5056E"/>
    <w:rsid w:val="00E53D9B"/>
    <w:rsid w:val="00E557B2"/>
    <w:rsid w:val="00EA53BE"/>
    <w:rsid w:val="00EE2C63"/>
    <w:rsid w:val="00F21A4D"/>
    <w:rsid w:val="00F542C4"/>
    <w:rsid w:val="00F811D6"/>
    <w:rsid w:val="00F87578"/>
    <w:rsid w:val="00F9128F"/>
    <w:rsid w:val="00FA4EEA"/>
    <w:rsid w:val="00FA71E0"/>
    <w:rsid w:val="00FC1E5A"/>
    <w:rsid w:val="00FC1E83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A4645"/>
  </w:style>
  <w:style w:type="character" w:styleId="af1">
    <w:name w:val="Hyperlink"/>
    <w:basedOn w:val="a0"/>
    <w:uiPriority w:val="99"/>
    <w:semiHidden/>
    <w:rsid w:val="00D76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9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778</Words>
  <Characters>4440</Characters>
  <Application>Microsoft Office Word</Application>
  <DocSecurity>0</DocSecurity>
  <Lines>37</Lines>
  <Paragraphs>10</Paragraphs>
  <ScaleCrop>false</ScaleCrop>
  <Company>МРСК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Газданова М.А.</dc:creator>
  <cp:keywords/>
  <dc:description/>
  <cp:lastModifiedBy>Мироненко Светлана Викторовна</cp:lastModifiedBy>
  <cp:revision>36</cp:revision>
  <cp:lastPrinted>2014-08-01T10:40:00Z</cp:lastPrinted>
  <dcterms:created xsi:type="dcterms:W3CDTF">2015-05-27T07:53:00Z</dcterms:created>
  <dcterms:modified xsi:type="dcterms:W3CDTF">2017-08-25T08:41:00Z</dcterms:modified>
</cp:coreProperties>
</file>